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17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.06.2022 </w:t>
      </w:r>
      <w:r>
        <w:rPr>
          <w:rFonts w:ascii="Trebuchet MS" w:hAnsi="Trebuchet MS" w:cs="Times New Roman"/>
          <w:sz w:val="22"/>
          <w:szCs w:val="22"/>
          <w:lang w:eastAsia="en-US"/>
        </w:rPr>
        <w:t>cu ocazia selecției finale, în cadrul procedurii de selecție din luna IUNIE 2022,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Procedura de identificare și selecție a grupului țintă este reluată periodic, iar în această etapă, conform Anunț reluare selecție grup țintă nr. 24328/06.06.2022, au fost depuse 4 dosare de candidatură, astfel că au fost analizate, de către Comisia de evaluare a dosarelor, 4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dosare depuse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67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 urma verificării dosarelor, acestea au fost declarate eligibile, respectând condițiile obligatorii menționate în Metodologia de selecție a grupului țintă.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TMD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/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TÂRGOVIȘTE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locuință protejată (LP),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TOA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/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TÂRGOVIȘTE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locuință protejată (LP),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CI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ANINOASA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LL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LUDEȘTI</w:t>
            </w:r>
            <w:bookmarkStart w:id="1" w:name="_GoBack"/>
            <w:bookmarkEnd w:id="1"/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-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A0A85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5736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0912C20"/>
    <w:rsid w:val="112D5E78"/>
    <w:rsid w:val="1F5E7160"/>
    <w:rsid w:val="24787F9A"/>
    <w:rsid w:val="2B2F32DD"/>
    <w:rsid w:val="43BF1E37"/>
    <w:rsid w:val="455C19C9"/>
    <w:rsid w:val="47EE68EA"/>
    <w:rsid w:val="4BB63C64"/>
    <w:rsid w:val="5360292B"/>
    <w:rsid w:val="6FF17B47"/>
    <w:rsid w:val="70441A48"/>
    <w:rsid w:val="72E353A6"/>
    <w:rsid w:val="73F900D9"/>
    <w:rsid w:val="764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DC88-4594-4182-AB89-9F3C05820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260</Words>
  <Characters>1509</Characters>
  <Lines>12</Lines>
  <Paragraphs>3</Paragraphs>
  <TotalTime>1</TotalTime>
  <ScaleCrop>false</ScaleCrop>
  <LinksUpToDate>false</LinksUpToDate>
  <CharactersWithSpaces>1766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2022-06-15T07:26:20Z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FABBC01589F24103B46764AAE17039CD</vt:lpwstr>
  </property>
</Properties>
</file>